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907"/>
        <w:gridCol w:w="4567"/>
        <w:gridCol w:w="4246"/>
      </w:tblGrid>
      <w:tr w:rsidR="00F73C88">
        <w:tblPrEx>
          <w:tblCellMar>
            <w:top w:w="0" w:type="dxa"/>
            <w:bottom w:w="0" w:type="dxa"/>
          </w:tblCellMar>
        </w:tblPrEx>
        <w:trPr>
          <w:trHeight w:hRule="exact" w:val="1151"/>
        </w:trPr>
        <w:tc>
          <w:tcPr>
            <w:tcW w:w="907" w:type="dxa"/>
            <w:tcBorders>
              <w:top w:val="none" w:sz="0" w:space="0" w:color="000000"/>
              <w:left w:val="none" w:sz="0" w:space="0" w:color="000000"/>
              <w:bottom w:val="none" w:sz="0" w:space="0" w:color="000000"/>
              <w:right w:val="none" w:sz="0" w:space="0" w:color="000000"/>
            </w:tcBorders>
          </w:tcPr>
          <w:p w:rsidR="00F73C88" w:rsidRDefault="007556BD">
            <w:pPr>
              <w:spacing w:before="46" w:after="25"/>
              <w:ind w:left="19"/>
              <w:jc w:val="center"/>
              <w:textAlignment w:val="baseline"/>
            </w:pPr>
            <w:r>
              <w:rPr>
                <w:noProof/>
                <w:lang w:val="es-AR" w:eastAsia="es-AR"/>
              </w:rPr>
              <w:drawing>
                <wp:inline distT="0" distB="0" distL="0" distR="0">
                  <wp:extent cx="563880" cy="5822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63880" cy="582295"/>
                          </a:xfrm>
                          <a:prstGeom prst="rect">
                            <a:avLst/>
                          </a:prstGeom>
                        </pic:spPr>
                      </pic:pic>
                    </a:graphicData>
                  </a:graphic>
                </wp:inline>
              </w:drawing>
            </w:r>
          </w:p>
        </w:tc>
        <w:tc>
          <w:tcPr>
            <w:tcW w:w="4567" w:type="dxa"/>
            <w:tcBorders>
              <w:top w:val="none" w:sz="0" w:space="0" w:color="000000"/>
              <w:left w:val="none" w:sz="0" w:space="0" w:color="000000"/>
              <w:bottom w:val="none" w:sz="0" w:space="0" w:color="000000"/>
              <w:right w:val="none" w:sz="0" w:space="0" w:color="000000"/>
            </w:tcBorders>
            <w:vAlign w:val="center"/>
          </w:tcPr>
          <w:p w:rsidR="00F73C88" w:rsidRDefault="007556BD">
            <w:pPr>
              <w:spacing w:before="258" w:after="239" w:line="326" w:lineRule="exact"/>
              <w:ind w:left="144"/>
              <w:textAlignment w:val="baseline"/>
              <w:rPr>
                <w:rFonts w:ascii="Arial" w:eastAsia="Arial" w:hAnsi="Arial"/>
                <w:b/>
                <w:color w:val="000000"/>
                <w:sz w:val="28"/>
              </w:rPr>
            </w:pPr>
            <w:r>
              <w:rPr>
                <w:rFonts w:ascii="Arial" w:eastAsia="Arial" w:hAnsi="Arial"/>
                <w:b/>
                <w:color w:val="000000"/>
                <w:sz w:val="28"/>
              </w:rPr>
              <w:t xml:space="preserve">Student Access </w:t>
            </w:r>
            <w:r>
              <w:rPr>
                <w:rFonts w:ascii="Arial" w:eastAsia="Arial" w:hAnsi="Arial"/>
                <w:b/>
                <w:color w:val="000000"/>
                <w:sz w:val="28"/>
              </w:rPr>
              <w:t>Services</w:t>
            </w:r>
            <w:r>
              <w:rPr>
                <w:rFonts w:ascii="Arial" w:eastAsia="Arial" w:hAnsi="Arial"/>
                <w:b/>
                <w:color w:val="000000"/>
                <w:sz w:val="28"/>
              </w:rPr>
              <w:br/>
            </w:r>
          </w:p>
        </w:tc>
        <w:tc>
          <w:tcPr>
            <w:tcW w:w="4246" w:type="dxa"/>
            <w:tcBorders>
              <w:top w:val="none" w:sz="0" w:space="0" w:color="000000"/>
              <w:left w:val="none" w:sz="0" w:space="0" w:color="000000"/>
              <w:bottom w:val="none" w:sz="0" w:space="0" w:color="000000"/>
              <w:right w:val="none" w:sz="0" w:space="0" w:color="000000"/>
            </w:tcBorders>
          </w:tcPr>
          <w:p w:rsidR="007556BD" w:rsidRDefault="007556BD" w:rsidP="007556BD">
            <w:pPr>
              <w:spacing w:line="229" w:lineRule="exact"/>
              <w:ind w:left="1476"/>
              <w:jc w:val="center"/>
              <w:textAlignment w:val="baseline"/>
              <w:rPr>
                <w:rFonts w:ascii="Arial" w:eastAsia="Arial" w:hAnsi="Arial"/>
                <w:b/>
                <w:color w:val="000000"/>
                <w:sz w:val="21"/>
              </w:rPr>
            </w:pPr>
            <w:r>
              <w:rPr>
                <w:rFonts w:ascii="Arial" w:eastAsia="Arial" w:hAnsi="Arial"/>
                <w:b/>
                <w:color w:val="000000"/>
                <w:sz w:val="21"/>
              </w:rPr>
              <w:t xml:space="preserve">             107 Student Center  </w:t>
            </w:r>
          </w:p>
          <w:p w:rsidR="007556BD" w:rsidRDefault="007556BD">
            <w:pPr>
              <w:spacing w:line="229" w:lineRule="exact"/>
              <w:ind w:left="1476"/>
              <w:jc w:val="right"/>
              <w:textAlignment w:val="baseline"/>
              <w:rPr>
                <w:rFonts w:ascii="Arial" w:eastAsia="Arial" w:hAnsi="Arial"/>
                <w:b/>
                <w:color w:val="000000"/>
                <w:sz w:val="21"/>
              </w:rPr>
            </w:pPr>
            <w:r>
              <w:rPr>
                <w:rFonts w:ascii="Arial" w:eastAsia="Arial" w:hAnsi="Arial"/>
                <w:b/>
                <w:color w:val="000000"/>
                <w:sz w:val="21"/>
              </w:rPr>
              <w:t>200 H</w:t>
            </w:r>
            <w:r>
              <w:rPr>
                <w:rFonts w:ascii="Arial" w:eastAsia="Arial" w:hAnsi="Arial"/>
                <w:b/>
                <w:color w:val="000000"/>
                <w:sz w:val="21"/>
              </w:rPr>
              <w:t xml:space="preserve">ofstra University Hempstead, NY 11549-1260 Phone: 516.463.7075 </w:t>
            </w:r>
          </w:p>
          <w:p w:rsidR="00F73C88" w:rsidRDefault="007556BD">
            <w:pPr>
              <w:spacing w:line="229" w:lineRule="exact"/>
              <w:ind w:left="1476"/>
              <w:jc w:val="right"/>
              <w:textAlignment w:val="baseline"/>
              <w:rPr>
                <w:rFonts w:ascii="Arial" w:eastAsia="Arial" w:hAnsi="Arial"/>
                <w:b/>
                <w:color w:val="000000"/>
                <w:sz w:val="21"/>
              </w:rPr>
            </w:pPr>
            <w:r>
              <w:rPr>
                <w:rFonts w:ascii="Arial" w:eastAsia="Arial" w:hAnsi="Arial"/>
                <w:b/>
                <w:color w:val="000000"/>
                <w:sz w:val="21"/>
              </w:rPr>
              <w:t>Fax: 516.463.7070</w:t>
            </w:r>
          </w:p>
        </w:tc>
      </w:tr>
    </w:tbl>
    <w:p w:rsidR="00F73C88" w:rsidRDefault="00F73C88">
      <w:pPr>
        <w:spacing w:after="376" w:line="20" w:lineRule="exact"/>
      </w:pPr>
    </w:p>
    <w:p w:rsidR="00F73C88" w:rsidRDefault="007556BD">
      <w:pPr>
        <w:spacing w:before="5" w:line="310" w:lineRule="exact"/>
        <w:jc w:val="center"/>
        <w:textAlignment w:val="baseline"/>
        <w:rPr>
          <w:rFonts w:eastAsia="Times New Roman"/>
          <w:b/>
          <w:color w:val="000000"/>
          <w:spacing w:val="6"/>
          <w:sz w:val="27"/>
        </w:rPr>
      </w:pPr>
      <w:r>
        <w:rPr>
          <w:rFonts w:eastAsia="Times New Roman"/>
          <w:b/>
          <w:color w:val="000000"/>
          <w:spacing w:val="6"/>
          <w:sz w:val="27"/>
        </w:rPr>
        <w:t>P</w:t>
      </w:r>
      <w:r>
        <w:rPr>
          <w:rFonts w:eastAsia="Times New Roman"/>
          <w:b/>
          <w:color w:val="000000"/>
          <w:spacing w:val="6"/>
          <w:sz w:val="21"/>
        </w:rPr>
        <w:t xml:space="preserve">HYSICAL </w:t>
      </w:r>
      <w:r>
        <w:rPr>
          <w:rFonts w:eastAsia="Times New Roman"/>
          <w:b/>
          <w:color w:val="000000"/>
          <w:spacing w:val="6"/>
          <w:sz w:val="27"/>
        </w:rPr>
        <w:t>D</w:t>
      </w:r>
      <w:r>
        <w:rPr>
          <w:rFonts w:eastAsia="Times New Roman"/>
          <w:b/>
          <w:color w:val="000000"/>
          <w:spacing w:val="6"/>
          <w:sz w:val="21"/>
        </w:rPr>
        <w:t xml:space="preserve">ISABILITIES AND </w:t>
      </w:r>
      <w:r>
        <w:rPr>
          <w:rFonts w:eastAsia="Times New Roman"/>
          <w:b/>
          <w:color w:val="000000"/>
          <w:spacing w:val="6"/>
          <w:sz w:val="27"/>
        </w:rPr>
        <w:t>M</w:t>
      </w:r>
      <w:r>
        <w:rPr>
          <w:rFonts w:eastAsia="Times New Roman"/>
          <w:b/>
          <w:color w:val="000000"/>
          <w:spacing w:val="6"/>
          <w:sz w:val="21"/>
        </w:rPr>
        <w:t xml:space="preserve">EDICAL </w:t>
      </w:r>
      <w:r>
        <w:rPr>
          <w:rFonts w:eastAsia="Times New Roman"/>
          <w:b/>
          <w:color w:val="000000"/>
          <w:spacing w:val="6"/>
          <w:sz w:val="27"/>
        </w:rPr>
        <w:t>D</w:t>
      </w:r>
      <w:r>
        <w:rPr>
          <w:rFonts w:eastAsia="Times New Roman"/>
          <w:b/>
          <w:color w:val="000000"/>
          <w:spacing w:val="6"/>
          <w:sz w:val="21"/>
        </w:rPr>
        <w:t xml:space="preserve">OCUMENTATION </w:t>
      </w:r>
      <w:r>
        <w:rPr>
          <w:rFonts w:eastAsia="Times New Roman"/>
          <w:b/>
          <w:color w:val="000000"/>
          <w:spacing w:val="6"/>
          <w:sz w:val="27"/>
        </w:rPr>
        <w:t>G</w:t>
      </w:r>
      <w:r>
        <w:rPr>
          <w:rFonts w:eastAsia="Times New Roman"/>
          <w:b/>
          <w:color w:val="000000"/>
          <w:spacing w:val="6"/>
          <w:sz w:val="21"/>
        </w:rPr>
        <w:t>UIDELINES</w:t>
      </w:r>
    </w:p>
    <w:p w:rsidR="00F73C88" w:rsidRDefault="007556BD">
      <w:pPr>
        <w:spacing w:before="369" w:line="276" w:lineRule="exact"/>
        <w:ind w:right="432"/>
        <w:textAlignment w:val="baseline"/>
        <w:rPr>
          <w:rFonts w:eastAsia="Times New Roman"/>
          <w:color w:val="000000"/>
          <w:sz w:val="24"/>
        </w:rPr>
      </w:pPr>
      <w:r>
        <w:rPr>
          <w:rFonts w:eastAsia="Times New Roman"/>
          <w:color w:val="000000"/>
          <w:sz w:val="24"/>
        </w:rPr>
        <w:t>Students requesting accommodations under the Americans with Disabilities Act (ADA) or Section 504 of the Rehabilitation Act of 1973 must provide documentation of a diagnosed physical or medical impairment that substantially limits a major life activity. Do</w:t>
      </w:r>
      <w:r>
        <w:rPr>
          <w:rFonts w:eastAsia="Times New Roman"/>
          <w:color w:val="000000"/>
          <w:sz w:val="24"/>
        </w:rPr>
        <w:t>cumentation and recommendations must be appropriate to the postsecondary setting. The report must describe the current impact of the disability on the student’s academic performance.</w:t>
      </w:r>
    </w:p>
    <w:p w:rsidR="00F73C88" w:rsidRDefault="007556BD">
      <w:pPr>
        <w:spacing w:before="196" w:line="276" w:lineRule="exact"/>
        <w:ind w:right="648"/>
        <w:textAlignment w:val="baseline"/>
        <w:rPr>
          <w:rFonts w:eastAsia="Times New Roman"/>
          <w:color w:val="000000"/>
          <w:sz w:val="24"/>
        </w:rPr>
      </w:pPr>
      <w:r>
        <w:rPr>
          <w:rFonts w:eastAsia="Times New Roman"/>
          <w:color w:val="000000"/>
          <w:sz w:val="24"/>
        </w:rPr>
        <w:t>Accommodations are individually determined each semester. Once Students Access Services (SAS</w:t>
      </w:r>
      <w:r>
        <w:rPr>
          <w:rFonts w:eastAsia="Times New Roman"/>
          <w:color w:val="000000"/>
          <w:sz w:val="24"/>
        </w:rPr>
        <w:t>) receives documentation, it is the student’s responsibility to make an appointment with a staff member at SAS</w:t>
      </w:r>
      <w:r>
        <w:rPr>
          <w:rFonts w:eastAsia="Times New Roman"/>
          <w:color w:val="000000"/>
          <w:sz w:val="24"/>
        </w:rPr>
        <w:t xml:space="preserve"> to discuss eligibility and receive academic accommodations that semester.</w:t>
      </w:r>
    </w:p>
    <w:p w:rsidR="00F73C88" w:rsidRDefault="007556BD">
      <w:pPr>
        <w:spacing w:before="208" w:line="274" w:lineRule="exact"/>
        <w:textAlignment w:val="baseline"/>
        <w:rPr>
          <w:rFonts w:eastAsia="Times New Roman"/>
          <w:b/>
          <w:color w:val="000000"/>
          <w:sz w:val="24"/>
        </w:rPr>
      </w:pPr>
      <w:r>
        <w:rPr>
          <w:rFonts w:eastAsia="Times New Roman"/>
          <w:b/>
          <w:color w:val="000000"/>
          <w:sz w:val="24"/>
        </w:rPr>
        <w:t>Confidentiality Statement</w:t>
      </w:r>
    </w:p>
    <w:p w:rsidR="00F73C88" w:rsidRDefault="007556BD">
      <w:pPr>
        <w:spacing w:before="198" w:line="276" w:lineRule="exact"/>
        <w:ind w:right="432"/>
        <w:textAlignment w:val="baseline"/>
        <w:rPr>
          <w:rFonts w:eastAsia="Times New Roman"/>
          <w:color w:val="000000"/>
          <w:sz w:val="24"/>
        </w:rPr>
      </w:pPr>
      <w:bookmarkStart w:id="0" w:name="_GoBack"/>
      <w:bookmarkEnd w:id="0"/>
      <w:r>
        <w:rPr>
          <w:rFonts w:eastAsia="Times New Roman"/>
          <w:color w:val="000000"/>
          <w:sz w:val="24"/>
        </w:rPr>
        <w:t>Student Access Services (SAS</w:t>
      </w:r>
      <w:r>
        <w:rPr>
          <w:rFonts w:eastAsia="Times New Roman"/>
          <w:color w:val="000000"/>
          <w:sz w:val="24"/>
        </w:rPr>
        <w:t>) will not release any information at any point in the disability accommodation process regarding an individual’s diagnosis or medical information without his or her informed written consent or under compulsion o</w:t>
      </w:r>
      <w:r>
        <w:rPr>
          <w:rFonts w:eastAsia="Times New Roman"/>
          <w:color w:val="000000"/>
          <w:sz w:val="24"/>
        </w:rPr>
        <w:t>f legal process. Information will be released only on a “need to know” basis, except where otherwise required by law. All documentation will be stored in a secure place.</w:t>
      </w:r>
    </w:p>
    <w:p w:rsidR="00F73C88" w:rsidRDefault="007556BD">
      <w:pPr>
        <w:spacing w:before="203" w:line="274" w:lineRule="exact"/>
        <w:textAlignment w:val="baseline"/>
        <w:rPr>
          <w:rFonts w:eastAsia="Times New Roman"/>
          <w:b/>
          <w:color w:val="000000"/>
          <w:sz w:val="24"/>
        </w:rPr>
      </w:pPr>
      <w:r>
        <w:rPr>
          <w:rFonts w:eastAsia="Times New Roman"/>
          <w:b/>
          <w:color w:val="000000"/>
          <w:sz w:val="24"/>
        </w:rPr>
        <w:t>Relevant Terminology</w:t>
      </w:r>
    </w:p>
    <w:p w:rsidR="00F73C88" w:rsidRDefault="007556BD">
      <w:pPr>
        <w:spacing w:before="197" w:line="276" w:lineRule="exact"/>
        <w:ind w:right="432"/>
        <w:textAlignment w:val="baseline"/>
        <w:rPr>
          <w:rFonts w:eastAsia="Times New Roman"/>
          <w:color w:val="000000"/>
          <w:sz w:val="24"/>
        </w:rPr>
      </w:pPr>
      <w:r>
        <w:rPr>
          <w:rFonts w:eastAsia="Times New Roman"/>
          <w:color w:val="000000"/>
          <w:sz w:val="24"/>
        </w:rPr>
        <w:t>Physical disabilities and Medical disabilities: Include but are n</w:t>
      </w:r>
      <w:r>
        <w:rPr>
          <w:rFonts w:eastAsia="Times New Roman"/>
          <w:color w:val="000000"/>
          <w:sz w:val="24"/>
        </w:rPr>
        <w:t>ot limited to impairments, chronic illnesses, traumatic brain injury, arthritis and mobility, chemical sensitivity, cancer, AIDS and manual limitations.</w:t>
      </w:r>
    </w:p>
    <w:p w:rsidR="00F73C88" w:rsidRDefault="007556BD">
      <w:pPr>
        <w:spacing w:before="202" w:line="276" w:lineRule="exact"/>
        <w:ind w:right="432"/>
        <w:textAlignment w:val="baseline"/>
        <w:rPr>
          <w:rFonts w:eastAsia="Times New Roman"/>
          <w:color w:val="000000"/>
          <w:spacing w:val="-2"/>
          <w:sz w:val="24"/>
        </w:rPr>
      </w:pPr>
      <w:r>
        <w:rPr>
          <w:rFonts w:eastAsia="Times New Roman"/>
          <w:color w:val="000000"/>
          <w:spacing w:val="-2"/>
          <w:sz w:val="24"/>
        </w:rPr>
        <w:t>Major life activity: Examples of major life activities include walking, sitting, standing, seeing, hear</w:t>
      </w:r>
      <w:r>
        <w:rPr>
          <w:rFonts w:eastAsia="Times New Roman"/>
          <w:color w:val="000000"/>
          <w:spacing w:val="-2"/>
          <w:sz w:val="24"/>
        </w:rPr>
        <w:t>ing, speaking, breathing, learning, working, caring for oneself, and performing manual tasks.</w:t>
      </w:r>
    </w:p>
    <w:p w:rsidR="00F73C88" w:rsidRDefault="007556BD">
      <w:pPr>
        <w:spacing w:before="196" w:line="276" w:lineRule="exact"/>
        <w:ind w:right="432"/>
        <w:textAlignment w:val="baseline"/>
        <w:rPr>
          <w:rFonts w:eastAsia="Times New Roman"/>
          <w:color w:val="000000"/>
          <w:sz w:val="24"/>
        </w:rPr>
      </w:pPr>
      <w:r>
        <w:rPr>
          <w:rFonts w:eastAsia="Times New Roman"/>
          <w:color w:val="000000"/>
          <w:sz w:val="24"/>
        </w:rPr>
        <w:t>Current functional limitation: A substantial impairment in an individual’s ability to function with respect to the condition, manner, or duration of a required ma</w:t>
      </w:r>
      <w:r>
        <w:rPr>
          <w:rFonts w:eastAsia="Times New Roman"/>
          <w:color w:val="000000"/>
          <w:sz w:val="24"/>
        </w:rPr>
        <w:t>jor life activity.</w:t>
      </w:r>
    </w:p>
    <w:p w:rsidR="00F73C88" w:rsidRDefault="007556BD">
      <w:pPr>
        <w:spacing w:before="208" w:line="274" w:lineRule="exact"/>
        <w:textAlignment w:val="baseline"/>
        <w:rPr>
          <w:rFonts w:eastAsia="Times New Roman"/>
          <w:b/>
          <w:color w:val="000000"/>
          <w:sz w:val="24"/>
        </w:rPr>
      </w:pPr>
      <w:r>
        <w:rPr>
          <w:rFonts w:eastAsia="Times New Roman"/>
          <w:b/>
          <w:color w:val="000000"/>
          <w:sz w:val="24"/>
        </w:rPr>
        <w:t>Documentation Guidelines</w:t>
      </w:r>
    </w:p>
    <w:p w:rsidR="00F73C88" w:rsidRDefault="007556BD">
      <w:pPr>
        <w:spacing w:before="195" w:line="276" w:lineRule="exact"/>
        <w:ind w:left="720" w:right="1080" w:hanging="360"/>
        <w:textAlignment w:val="baseline"/>
        <w:rPr>
          <w:rFonts w:eastAsia="Times New Roman"/>
          <w:color w:val="000000"/>
          <w:sz w:val="24"/>
        </w:rPr>
      </w:pPr>
      <w:r>
        <w:rPr>
          <w:noProof/>
          <w:lang w:val="es-AR" w:eastAsia="es-AR"/>
        </w:rPr>
        <mc:AlternateContent>
          <mc:Choice Requires="wps">
            <w:drawing>
              <wp:anchor distT="0" distB="0" distL="0" distR="0" simplePos="0" relativeHeight="251657728" behindDoc="1" locked="0" layoutInCell="1" allowOverlap="1">
                <wp:simplePos x="0" y="0"/>
                <wp:positionH relativeFrom="page">
                  <wp:posOffset>6772275</wp:posOffset>
                </wp:positionH>
                <wp:positionV relativeFrom="page">
                  <wp:posOffset>9445625</wp:posOffset>
                </wp:positionV>
                <wp:extent cx="80010" cy="14414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C88" w:rsidRDefault="007556BD">
                            <w:pPr>
                              <w:spacing w:line="216" w:lineRule="exact"/>
                              <w:textAlignment w:val="baseline"/>
                              <w:rPr>
                                <w:rFonts w:eastAsia="Times New Roman"/>
                                <w:color w:val="000000"/>
                                <w:sz w:val="19"/>
                              </w:rPr>
                            </w:pPr>
                            <w:r>
                              <w:rPr>
                                <w:rFonts w:eastAsia="Times New Roman"/>
                                <w:color w:val="000000"/>
                                <w:sz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33.25pt;margin-top:743.75pt;width:6.3pt;height:11.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" filled="f" stroked="f">
                <v:textbox inset="0,0,0,0">
                  <w:txbxContent>
                    <w:p w:rsidR="00F73C88" w:rsidRDefault="007556BD">
                      <w:pPr>
                        <w:spacing w:line="216" w:lineRule="exact"/>
                        <w:textAlignment w:val="baseline"/>
                        <w:rPr>
                          <w:rFonts w:eastAsia="Times New Roman"/>
                          <w:color w:val="000000"/>
                          <w:sz w:val="19"/>
                        </w:rPr>
                      </w:pPr>
                      <w:r>
                        <w:rPr>
                          <w:rFonts w:eastAsia="Times New Roman"/>
                          <w:color w:val="000000"/>
                          <w:sz w:val="19"/>
                        </w:rPr>
                        <w:t>1</w:t>
                      </w:r>
                    </w:p>
                  </w:txbxContent>
                </v:textbox>
                <w10:wrap type="square" anchorx="page" anchory="page"/>
              </v:shape>
            </w:pict>
          </mc:Fallback>
        </mc:AlternateContent>
      </w:r>
      <w:r>
        <w:rPr>
          <w:rFonts w:eastAsia="Times New Roman"/>
          <w:color w:val="000000"/>
          <w:sz w:val="24"/>
        </w:rPr>
        <w:t>1. Documentation must be current: Although some individuals have long-standing or permanent diagnoses, because of the changing manifestations of many physical disabilities, it is essential for those individ</w:t>
      </w:r>
      <w:r>
        <w:rPr>
          <w:rFonts w:eastAsia="Times New Roman"/>
          <w:color w:val="000000"/>
          <w:sz w:val="24"/>
        </w:rPr>
        <w:t>uals to provide recent and appropriate documentation from a qualified evaluator.</w:t>
      </w:r>
    </w:p>
    <w:p w:rsidR="00F73C88" w:rsidRDefault="00F73C88">
      <w:pPr>
        <w:sectPr w:rsidR="00F73C88">
          <w:pgSz w:w="12240" w:h="15840"/>
          <w:pgMar w:top="1140" w:right="1085" w:bottom="569" w:left="1435" w:header="720" w:footer="720" w:gutter="0"/>
          <w:cols w:space="720"/>
        </w:sectPr>
      </w:pPr>
    </w:p>
    <w:p w:rsidR="00F73C88" w:rsidRDefault="007556BD">
      <w:pPr>
        <w:spacing w:before="18" w:line="276" w:lineRule="exact"/>
        <w:ind w:left="504"/>
        <w:textAlignment w:val="baseline"/>
        <w:rPr>
          <w:rFonts w:eastAsia="Times New Roman"/>
          <w:color w:val="000000"/>
          <w:spacing w:val="1"/>
          <w:sz w:val="24"/>
        </w:rPr>
      </w:pPr>
      <w:r>
        <w:rPr>
          <w:rFonts w:eastAsia="Times New Roman"/>
          <w:color w:val="000000"/>
          <w:spacing w:val="1"/>
          <w:sz w:val="24"/>
        </w:rPr>
        <w:lastRenderedPageBreak/>
        <w:t>2. Documentation must be comprehensive and should include:</w:t>
      </w:r>
    </w:p>
    <w:p w:rsidR="00F73C88" w:rsidRDefault="007556BD">
      <w:pPr>
        <w:numPr>
          <w:ilvl w:val="0"/>
          <w:numId w:val="1"/>
        </w:numPr>
        <w:tabs>
          <w:tab w:val="clear" w:pos="360"/>
          <w:tab w:val="left" w:pos="1656"/>
        </w:tabs>
        <w:spacing w:before="139" w:line="276" w:lineRule="exact"/>
        <w:ind w:left="1656" w:right="432" w:hanging="360"/>
        <w:textAlignment w:val="baseline"/>
        <w:rPr>
          <w:rFonts w:eastAsia="Times New Roman"/>
          <w:color w:val="000000"/>
          <w:sz w:val="24"/>
        </w:rPr>
      </w:pPr>
      <w:r>
        <w:rPr>
          <w:rFonts w:eastAsia="Times New Roman"/>
          <w:color w:val="000000"/>
          <w:sz w:val="24"/>
        </w:rPr>
        <w:t>A clear, specific diagnosis of a disability and a statement outlining the ways the student is substantially limited in one or more major life activities</w:t>
      </w:r>
    </w:p>
    <w:p w:rsidR="00F73C88" w:rsidRDefault="007556BD">
      <w:pPr>
        <w:numPr>
          <w:ilvl w:val="0"/>
          <w:numId w:val="1"/>
        </w:numPr>
        <w:tabs>
          <w:tab w:val="clear" w:pos="360"/>
          <w:tab w:val="left" w:pos="1656"/>
        </w:tabs>
        <w:spacing w:line="276" w:lineRule="exact"/>
        <w:ind w:left="1656" w:right="864" w:hanging="360"/>
        <w:textAlignment w:val="baseline"/>
        <w:rPr>
          <w:rFonts w:eastAsia="Times New Roman"/>
          <w:color w:val="000000"/>
          <w:sz w:val="24"/>
        </w:rPr>
      </w:pPr>
      <w:r>
        <w:rPr>
          <w:rFonts w:eastAsia="Times New Roman"/>
          <w:color w:val="000000"/>
          <w:sz w:val="24"/>
        </w:rPr>
        <w:t>Description of the current symptoms, fluctuating conditions/symptoms and prognosis</w:t>
      </w:r>
    </w:p>
    <w:p w:rsidR="00F73C88" w:rsidRDefault="007556BD">
      <w:pPr>
        <w:numPr>
          <w:ilvl w:val="0"/>
          <w:numId w:val="1"/>
        </w:numPr>
        <w:tabs>
          <w:tab w:val="clear" w:pos="360"/>
          <w:tab w:val="left" w:pos="1656"/>
        </w:tabs>
        <w:spacing w:line="276" w:lineRule="exact"/>
        <w:ind w:left="1656" w:right="576" w:hanging="360"/>
        <w:textAlignment w:val="baseline"/>
        <w:rPr>
          <w:rFonts w:eastAsia="Times New Roman"/>
          <w:color w:val="000000"/>
          <w:sz w:val="24"/>
        </w:rPr>
      </w:pPr>
      <w:r>
        <w:rPr>
          <w:rFonts w:eastAsia="Times New Roman"/>
          <w:color w:val="000000"/>
          <w:sz w:val="24"/>
        </w:rPr>
        <w:t>A summary of assessm</w:t>
      </w:r>
      <w:r>
        <w:rPr>
          <w:rFonts w:eastAsia="Times New Roman"/>
          <w:color w:val="000000"/>
          <w:sz w:val="24"/>
        </w:rPr>
        <w:t>ent procedures used to make the diagnosis, as well as a date of diagnosis</w:t>
      </w:r>
    </w:p>
    <w:p w:rsidR="00F73C88" w:rsidRDefault="007556BD">
      <w:pPr>
        <w:numPr>
          <w:ilvl w:val="0"/>
          <w:numId w:val="1"/>
        </w:numPr>
        <w:tabs>
          <w:tab w:val="clear" w:pos="360"/>
          <w:tab w:val="left" w:pos="1656"/>
        </w:tabs>
        <w:spacing w:line="275" w:lineRule="exact"/>
        <w:ind w:left="1656" w:right="216" w:hanging="360"/>
        <w:textAlignment w:val="baseline"/>
        <w:rPr>
          <w:rFonts w:eastAsia="Times New Roman"/>
          <w:color w:val="000000"/>
          <w:sz w:val="24"/>
        </w:rPr>
      </w:pPr>
      <w:r>
        <w:rPr>
          <w:rFonts w:eastAsia="Times New Roman"/>
          <w:color w:val="000000"/>
          <w:sz w:val="24"/>
        </w:rPr>
        <w:t>Medical information which may be important in a college/university environment, including any medication, side effects of the prescribed medication, and whether there are crisis epis</w:t>
      </w:r>
      <w:r>
        <w:rPr>
          <w:rFonts w:eastAsia="Times New Roman"/>
          <w:color w:val="000000"/>
          <w:sz w:val="24"/>
        </w:rPr>
        <w:t>odes associated with the disability. Cognitive or achievement assessments that contribute to the diagnosis may be included with results given in standardized scores or percentiles.</w:t>
      </w:r>
    </w:p>
    <w:p w:rsidR="00F73C88" w:rsidRDefault="007556BD">
      <w:pPr>
        <w:spacing w:before="324" w:line="276" w:lineRule="exact"/>
        <w:ind w:left="504"/>
        <w:textAlignment w:val="baseline"/>
        <w:rPr>
          <w:rFonts w:eastAsia="Times New Roman"/>
          <w:color w:val="000000"/>
          <w:spacing w:val="1"/>
          <w:sz w:val="24"/>
        </w:rPr>
      </w:pPr>
      <w:r>
        <w:rPr>
          <w:rFonts w:eastAsia="Times New Roman"/>
          <w:color w:val="000000"/>
          <w:spacing w:val="1"/>
          <w:sz w:val="24"/>
        </w:rPr>
        <w:t>3. Recommendation for choosing a qualified professional:</w:t>
      </w:r>
    </w:p>
    <w:p w:rsidR="00F73C88" w:rsidRDefault="007556BD">
      <w:pPr>
        <w:numPr>
          <w:ilvl w:val="0"/>
          <w:numId w:val="1"/>
        </w:numPr>
        <w:tabs>
          <w:tab w:val="clear" w:pos="360"/>
          <w:tab w:val="left" w:pos="1656"/>
        </w:tabs>
        <w:spacing w:before="136" w:line="276" w:lineRule="exact"/>
        <w:ind w:left="1656" w:right="216" w:hanging="360"/>
        <w:textAlignment w:val="baseline"/>
        <w:rPr>
          <w:rFonts w:eastAsia="Times New Roman"/>
          <w:color w:val="000000"/>
          <w:spacing w:val="-2"/>
          <w:sz w:val="24"/>
        </w:rPr>
      </w:pPr>
      <w:r>
        <w:rPr>
          <w:rFonts w:eastAsia="Times New Roman"/>
          <w:color w:val="000000"/>
          <w:spacing w:val="-2"/>
          <w:sz w:val="24"/>
        </w:rPr>
        <w:t>Qualified evaluato</w:t>
      </w:r>
      <w:r>
        <w:rPr>
          <w:rFonts w:eastAsia="Times New Roman"/>
          <w:color w:val="000000"/>
          <w:spacing w:val="-2"/>
          <w:sz w:val="24"/>
        </w:rPr>
        <w:t>rs are defined as those licensed individuals who are qualified to evaluate and diagnose physical disabilities or who may serve as members of a diagnostic team. These individuals or team members may include physicians, surgeons, dentists, physical therapist</w:t>
      </w:r>
      <w:r>
        <w:rPr>
          <w:rFonts w:eastAsia="Times New Roman"/>
          <w:color w:val="000000"/>
          <w:spacing w:val="-2"/>
          <w:sz w:val="24"/>
        </w:rPr>
        <w:t>s, occupational therapists, Neurologists, and other relevantly trained healthcare professionals qualified to make such diagnoses.</w:t>
      </w:r>
    </w:p>
    <w:p w:rsidR="00F73C88" w:rsidRDefault="007556BD">
      <w:pPr>
        <w:numPr>
          <w:ilvl w:val="0"/>
          <w:numId w:val="1"/>
        </w:numPr>
        <w:tabs>
          <w:tab w:val="clear" w:pos="360"/>
          <w:tab w:val="left" w:pos="1656"/>
        </w:tabs>
        <w:spacing w:line="275" w:lineRule="exact"/>
        <w:ind w:left="1656" w:right="216" w:hanging="360"/>
        <w:textAlignment w:val="baseline"/>
        <w:rPr>
          <w:rFonts w:eastAsia="Times New Roman"/>
          <w:color w:val="000000"/>
          <w:sz w:val="24"/>
        </w:rPr>
      </w:pPr>
      <w:r>
        <w:rPr>
          <w:rFonts w:eastAsia="Times New Roman"/>
          <w:color w:val="000000"/>
          <w:sz w:val="24"/>
        </w:rPr>
        <w:t>Finally, the name, title, and credentials of the qualified professional writing the report should be included. Information abo</w:t>
      </w:r>
      <w:r>
        <w:rPr>
          <w:rFonts w:eastAsia="Times New Roman"/>
          <w:color w:val="000000"/>
          <w:sz w:val="24"/>
        </w:rPr>
        <w:t>ut licensure or certification, including the area of specialization, employment, and the state or province in which the individual practices, should also be clearly stated in the documentation. All reports should be typed on professional letterhead, dated,</w:t>
      </w:r>
      <w:r>
        <w:rPr>
          <w:rFonts w:eastAsia="Times New Roman"/>
          <w:color w:val="000000"/>
          <w:sz w:val="24"/>
        </w:rPr>
        <w:t xml:space="preserve"> and signed.</w:t>
      </w:r>
    </w:p>
    <w:p w:rsidR="00F73C88" w:rsidRDefault="007556BD">
      <w:pPr>
        <w:tabs>
          <w:tab w:val="left" w:pos="864"/>
        </w:tabs>
        <w:spacing w:before="326" w:line="276" w:lineRule="exact"/>
        <w:ind w:left="864" w:right="216" w:hanging="360"/>
        <w:textAlignment w:val="baseline"/>
        <w:rPr>
          <w:rFonts w:eastAsia="Times New Roman"/>
          <w:color w:val="000000"/>
          <w:sz w:val="24"/>
        </w:rPr>
      </w:pPr>
      <w:r>
        <w:rPr>
          <w:rFonts w:eastAsia="Times New Roman"/>
          <w:color w:val="000000"/>
          <w:sz w:val="24"/>
        </w:rPr>
        <w:t>4.</w:t>
      </w:r>
      <w:r>
        <w:rPr>
          <w:rFonts w:eastAsia="Times New Roman"/>
          <w:color w:val="000000"/>
          <w:sz w:val="24"/>
        </w:rPr>
        <w:tab/>
        <w:t>Suggestions of reasonable accommodations that might be appropriate at the postsecondary level are encouraged. These recommendations should be supported by the diagnosis. Include rationale for each accommodation requested. The clinician must</w:t>
      </w:r>
      <w:r>
        <w:rPr>
          <w:rFonts w:eastAsia="Times New Roman"/>
          <w:color w:val="000000"/>
          <w:sz w:val="24"/>
        </w:rPr>
        <w:t xml:space="preserve"> describe the degree of impact of the disorder on a specific major life activity, as well as the degree of impact on the individual. A link must be established between the requested accommodations and the functional limitations of the individual that are p</w:t>
      </w:r>
      <w:r>
        <w:rPr>
          <w:rFonts w:eastAsia="Times New Roman"/>
          <w:color w:val="000000"/>
          <w:sz w:val="24"/>
        </w:rPr>
        <w:t>ertinent to the anticipated academic situation. Please note that SAS</w:t>
      </w:r>
      <w:r>
        <w:rPr>
          <w:rFonts w:eastAsia="Times New Roman"/>
          <w:color w:val="000000"/>
          <w:sz w:val="24"/>
        </w:rPr>
        <w:t xml:space="preserve"> will make the final determination of eligibility for accommodations.</w:t>
      </w:r>
    </w:p>
    <w:p w:rsidR="00F73C88" w:rsidRDefault="007556BD">
      <w:pPr>
        <w:spacing w:before="564" w:after="2927" w:line="240" w:lineRule="exact"/>
        <w:ind w:left="144" w:right="216"/>
        <w:textAlignment w:val="baseline"/>
        <w:rPr>
          <w:rFonts w:eastAsia="Times New Roman"/>
          <w:b/>
          <w:color w:val="000000"/>
          <w:sz w:val="24"/>
        </w:rPr>
      </w:pPr>
      <w:r>
        <w:rPr>
          <w:rFonts w:eastAsia="Times New Roman"/>
          <w:b/>
          <w:color w:val="000000"/>
          <w:sz w:val="24"/>
        </w:rPr>
        <w:t>*** Note that submission of documentation is not the same as the request f</w:t>
      </w:r>
      <w:r>
        <w:rPr>
          <w:rFonts w:eastAsia="Times New Roman"/>
          <w:b/>
          <w:color w:val="000000"/>
          <w:sz w:val="24"/>
        </w:rPr>
        <w:t>or services. You still must complete the Application for Accommodations and Services. SAS</w:t>
      </w:r>
      <w:r>
        <w:rPr>
          <w:rFonts w:eastAsia="Times New Roman"/>
          <w:b/>
          <w:color w:val="000000"/>
          <w:sz w:val="24"/>
        </w:rPr>
        <w:t xml:space="preserve"> cannot support any accommodation requests until the documentation is complete.</w:t>
      </w:r>
    </w:p>
    <w:p w:rsidR="00F73C88" w:rsidRDefault="00F73C88">
      <w:pPr>
        <w:spacing w:before="564" w:after="2927" w:line="240" w:lineRule="exact"/>
        <w:sectPr w:rsidR="00F73C88">
          <w:pgSz w:w="12240" w:h="15840"/>
          <w:pgMar w:top="1140" w:right="1264" w:bottom="324" w:left="1256" w:header="720" w:footer="720" w:gutter="0"/>
          <w:cols w:space="720"/>
        </w:sectPr>
      </w:pPr>
    </w:p>
    <w:p w:rsidR="00F73C88" w:rsidRDefault="007556BD">
      <w:pPr>
        <w:spacing w:before="1" w:line="264" w:lineRule="exact"/>
        <w:textAlignment w:val="baseline"/>
        <w:rPr>
          <w:rFonts w:eastAsia="Times New Roman"/>
          <w:color w:val="000000"/>
          <w:sz w:val="23"/>
        </w:rPr>
      </w:pPr>
      <w:r>
        <w:rPr>
          <w:rFonts w:eastAsia="Times New Roman"/>
          <w:color w:val="000000"/>
          <w:sz w:val="23"/>
        </w:rPr>
        <w:lastRenderedPageBreak/>
        <w:t>2</w:t>
      </w:r>
    </w:p>
    <w:sectPr w:rsidR="00F73C88">
      <w:type w:val="continuous"/>
      <w:pgSz w:w="12240" w:h="15840"/>
      <w:pgMar w:top="1140" w:right="1359" w:bottom="324" w:left="10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6587E"/>
    <w:multiLevelType w:val="multilevel"/>
    <w:tmpl w:val="2EAAB776"/>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8"/>
    <w:rsid w:val="007556BD"/>
    <w:rsid w:val="00F73C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03DEA-2DC6-4073-8178-BEFBB13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Simon</dc:creator>
  <cp:lastModifiedBy>Victoria Simon</cp:lastModifiedBy>
  <cp:revision>2</cp:revision>
  <dcterms:created xsi:type="dcterms:W3CDTF">2015-07-17T15:50:00Z</dcterms:created>
  <dcterms:modified xsi:type="dcterms:W3CDTF">2015-07-17T15:50:00Z</dcterms:modified>
</cp:coreProperties>
</file>